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3D9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D9E" w:rsidRDefault="006E3D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 марта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D9E" w:rsidRDefault="006E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N 940-ОЗ</w:t>
            </w:r>
          </w:p>
        </w:tc>
      </w:tr>
    </w:tbl>
    <w:p w:rsidR="006E3D9E" w:rsidRDefault="006E3D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НОВГОРОДСКАЯ ОБЛАСТЬ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МЕРАХ ПО РЕАЛИЗАЦИИ ФЕДЕРАЛЬНОГО ЗАКОНА "О СОБРАНИЯХ,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МИТИНГАХ</w:t>
      </w:r>
      <w:proofErr w:type="gramEnd"/>
      <w:r>
        <w:rPr>
          <w:b/>
          <w:bCs/>
        </w:rPr>
        <w:t>, ДЕМОНСТРАЦИЯХ, ШЕСТВИЯХ И ПИКЕТИРОВАНИЯХ"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ТЕРРИТОРИИ НОВГОРОДСКОЙ ОБЛАСТИ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gramStart"/>
      <w:r>
        <w:t>Принят</w:t>
      </w:r>
      <w:proofErr w:type="gramEnd"/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Новгородской областной Думы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25.02.2011 N 1737-ОД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(в ред. областных законов Новгородской области</w:t>
      </w:r>
      <w:proofErr w:type="gramEnd"/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03.12.2012 </w:t>
      </w:r>
      <w:hyperlink r:id="rId6" w:history="1">
        <w:r>
          <w:rPr>
            <w:color w:val="0000FF"/>
          </w:rPr>
          <w:t>N 157-ОЗ</w:t>
        </w:r>
      </w:hyperlink>
      <w:r>
        <w:t xml:space="preserve">, от 03.03.2014 </w:t>
      </w:r>
      <w:hyperlink r:id="rId7" w:history="1">
        <w:r>
          <w:rPr>
            <w:color w:val="0000FF"/>
          </w:rPr>
          <w:t>N 473-ОЗ</w:t>
        </w:r>
      </w:hyperlink>
      <w:r>
        <w:t>,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26.02.2015 </w:t>
      </w:r>
      <w:hyperlink r:id="rId8" w:history="1">
        <w:r>
          <w:rPr>
            <w:color w:val="0000FF"/>
          </w:rPr>
          <w:t>N 728-ОЗ</w:t>
        </w:r>
      </w:hyperlink>
      <w:r>
        <w:t xml:space="preserve">, от 29.06.2015 </w:t>
      </w:r>
      <w:hyperlink r:id="rId9" w:history="1">
        <w:r>
          <w:rPr>
            <w:color w:val="0000FF"/>
          </w:rPr>
          <w:t>N 791-ОЗ</w:t>
        </w:r>
      </w:hyperlink>
      <w:r>
        <w:t>)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Преамбула исключена. - Областной </w:t>
      </w:r>
      <w:hyperlink r:id="rId10" w:history="1">
        <w:r>
          <w:rPr>
            <w:color w:val="0000FF"/>
          </w:rPr>
          <w:t>закон</w:t>
        </w:r>
      </w:hyperlink>
      <w:r>
        <w:t xml:space="preserve"> Новгородской области от 03.12.2012 N 157-ОЗ.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0" w:name="Par23"/>
      <w:bookmarkEnd w:id="0"/>
      <w:r>
        <w:t>Статья 1. Порядок подачи уведомления о проведении публичного мероприятия на территории Новгородской области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 xml:space="preserve"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органы местного самоуправления муниципальных районов и городского округа (далее - органы местного самоуправления), на территории которых оно проводится, в соответствии с </w:t>
      </w:r>
      <w:hyperlink r:id="rId11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собраниях, митингах, демонстрациях, шествиях и пикетированиях" (далее - Федеральный закон) не ранее пятнадцати дней</w:t>
      </w:r>
      <w:proofErr w:type="gramEnd"/>
      <w:r>
        <w:t xml:space="preserve"> и не позднее десяти дней до намеченной даты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К уведомлению прилагается регламент проведения публичного мероприятия с указанием в нем лиц, ответственных за проведение каждого этапа планируемого мероприятия, а в случае если публичное мероприятие будет проводиться с использованием транспортных средств, информация об использовании транспортных средств.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уведомлении о проведении публичного мероприятия указываются: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цель публичного мероприятия;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форма публичного мероприятия;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Новгородской области от 29.06.2015 N 791-ОЗ)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дата, время начала и окончания публичного мероприятия;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предполагаемое количество участников публичного мероприятия;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дата подачи уведомления о проведении публичного мероприятия.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Уведомление о проведении публичного мероприятия в соответствии со </w:t>
      </w:r>
      <w:hyperlink r:id="rId13" w:history="1">
        <w:r>
          <w:rPr>
            <w:color w:val="0000FF"/>
          </w:rPr>
          <w:t>статьей 3</w:t>
        </w:r>
      </w:hyperlink>
      <w:r>
        <w:t xml:space="preserve"> Федерального закона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Уведомление о проведении публичного мероприятия подлежит регистрации в органе местного самоуправления. На копии уведомления о проведении публичного мероприятия делается отметка о дате, времени приема уведомления о проведении публичного мероприятия, указываются должность, фамилия и инициалы лица, зарегистрировавшего документ.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</w:t>
      </w:r>
      <w:proofErr w:type="gramStart"/>
      <w:r>
        <w:t xml:space="preserve"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 и нарушают запреты, предусмотренные </w:t>
      </w:r>
      <w:r>
        <w:lastRenderedPageBreak/>
        <w:t xml:space="preserve">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в соответствии с </w:t>
      </w:r>
      <w:hyperlink r:id="rId15" w:history="1">
        <w:r>
          <w:rPr>
            <w:color w:val="0000FF"/>
          </w:rPr>
          <w:t>частью 2 статьи 12</w:t>
        </w:r>
      </w:hyperlink>
      <w:r>
        <w:t xml:space="preserve"> Федерального закона</w:t>
      </w:r>
      <w:proofErr w:type="gramEnd"/>
      <w:r>
        <w:t xml:space="preserve"> незамедлительно доводит до сведения организатора публичного мероприятия письменное мотивированное предупреждение о том, что организатор публичного мероприятия, а также иные участники публичного мероприятия в случае </w:t>
      </w:r>
      <w:proofErr w:type="gramStart"/>
      <w:r>
        <w:t>указанных</w:t>
      </w:r>
      <w:proofErr w:type="gramEnd"/>
      <w: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</w:t>
      </w: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пунктом 2 части 1 статьи 12</w:t>
        </w:r>
      </w:hyperlink>
      <w:r>
        <w:t xml:space="preserve"> Федерального закона орган местного самоуправления после получения уведомления о проведении публичного мероприятия обязан довести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пикетировании группой лиц менее чем за пять дней до дня его проведения - в день его</w:t>
      </w:r>
      <w:proofErr w:type="gramEnd"/>
      <w:r>
        <w:t xml:space="preserve">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Организатор публичного мероприятия в соответствии с </w:t>
      </w:r>
      <w:hyperlink r:id="rId17" w:history="1">
        <w:r>
          <w:rPr>
            <w:color w:val="0000FF"/>
          </w:rPr>
          <w:t>пунктом 2 части 4 статьи 5</w:t>
        </w:r>
      </w:hyperlink>
      <w:r>
        <w:t xml:space="preserve"> Федерального закона обязан не </w:t>
      </w:r>
      <w:proofErr w:type="gramStart"/>
      <w:r>
        <w:t>позднее</w:t>
      </w:r>
      <w:proofErr w:type="gramEnd"/>
      <w: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орган местного самоуправления в письменной форме о принятии (непринятии) его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В целях оказания содействия организатору публичного мероприятия (за исключением собрания и пикетирования, проводимого одним участником) орган местного самоуправления назначает своего уполномоченного представителя с учетом требований Федерального закона и на основании распоряжения, направляемого организатору публичного мероприятия в течение двух дней со дня поступления уведомления. На уполномоченного представителя органа местного самоуправления распространяются права и обязанности, установленные </w:t>
      </w:r>
      <w:hyperlink r:id="rId18" w:history="1">
        <w:r>
          <w:rPr>
            <w:color w:val="0000FF"/>
          </w:rPr>
          <w:t>статьей 13</w:t>
        </w:r>
      </w:hyperlink>
      <w:r>
        <w:t xml:space="preserve"> Федерального закона.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В день назначения своего уполномоченного представителя орган местного самоуправления направляет предложение руководителю органа внутренних дел, расположенному на территории, на которой планируется проведение публичного мероприятия (за исключением собрания и </w:t>
      </w:r>
      <w:r>
        <w:lastRenderedPageBreak/>
        <w:t>пикетирования, проводимого одним участником), о назначении уполномоченного представителя органа внутренних дел.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Организатор публичного мероприятия в соответствии с </w:t>
      </w:r>
      <w:hyperlink r:id="rId19" w:history="1">
        <w:r>
          <w:rPr>
            <w:color w:val="0000FF"/>
          </w:rPr>
          <w:t>частью 5 статьи 5</w:t>
        </w:r>
      </w:hyperlink>
      <w:r>
        <w:t xml:space="preserve"> Федерального закона не вправе проводить его, если уведомление о проведении публичного мероприятия не было подано в срок либо если с органом местного самоуправления не было согласовано изменение по его мотивированному предложению места и (или) времени проведения публичного мероприятия.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</w:t>
      </w:r>
      <w:proofErr w:type="gramStart"/>
      <w:r>
        <w:t xml:space="preserve">Органы местного самоуправления информируют о вопросах, явившихся причинами проведения публичного мероприятия органы государственной власти, в соответствии с </w:t>
      </w:r>
      <w:hyperlink r:id="rId20" w:history="1">
        <w:r>
          <w:rPr>
            <w:color w:val="0000FF"/>
          </w:rPr>
          <w:t>пунктом 6 части 1 статьи 12</w:t>
        </w:r>
      </w:hyperlink>
      <w:r>
        <w:t xml:space="preserve"> Федерального закона, а в случае проведения публичного мероприятия на трассах проезда и в местах постоянного или временного пребывания объектов государственной охраны,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мая 1996 года N 57-ФЗ "О государственной охране", информируют об этом</w:t>
      </w:r>
      <w:proofErr w:type="gramEnd"/>
      <w:r>
        <w:t xml:space="preserve"> органы государственной охраны.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473-ОЗ)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" w:name="Par59"/>
      <w:bookmarkEnd w:id="1"/>
      <w:r>
        <w:t>Статья 1-1. Порядок пикетирования, осуществляемого одним участником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Новгородской области от 03.12.2012 N 157-ОЗ)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Уведомление о пикетировании, осуществляемом одним участником, не требуется. Минимальное допустимое расстояние между лицами, осуществляющими указанное пикетирование, составляет 10 метров.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" w:name="Par65"/>
      <w:bookmarkEnd w:id="2"/>
      <w:r>
        <w:t>Статья 1-2. Порядок использования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Новгородской области от 03.12.2012 N 157-ОЗ)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 xml:space="preserve">При проведении публичного мероприятия на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</w:t>
      </w:r>
      <w:r>
        <w:lastRenderedPageBreak/>
        <w:t>общественно-политического характера местах (далее - специально отведенное место) его организаторы обеспечивают соблюдение санитарных норм и правил, предупреждают лиц, желающих принять участие в публичном мероприятии, о</w:t>
      </w:r>
      <w:proofErr w:type="gramEnd"/>
      <w:r>
        <w:t xml:space="preserve"> недопустимости совершения действий, способных привести к повреждению специально отведенных мест, в том числе: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размещение на фасадах зданий, расположенных в специально отведенных местах, стационарных плакатов, транспарантов и иных средств наглядной агитации;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повреждение, засорение, хождение по участкам, занятым зелеными насаждениями (цветникам, газонам и т.д.), иным формам малого благоустройства, находящимся на территориях специально отведенных мест.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После окончания публичного мероприятия его организаторы принимают меры по наведению порядка на территории специально отведенных мест. Порядок в специально отведенном месте, на территории которого проводилось публичное мероприятие, должен быть наведен не позднее 8.00 часов дня, следующего за днем проведения публичного мероприятия. </w:t>
      </w:r>
      <w:proofErr w:type="gramStart"/>
      <w:r>
        <w:t>Контроль за</w:t>
      </w:r>
      <w:proofErr w:type="gramEnd"/>
      <w:r>
        <w:t xml:space="preserve"> соблюдением порядка осуществляет орган местного самоуправления, принявший уведомление о проведении публичного мероприятия.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3" w:name="Par75"/>
      <w:bookmarkEnd w:id="3"/>
      <w:r>
        <w:t>Статья 1-3. Нормы предельной заполняемости специально отведенных мест и предельная численность лиц, участвующих в публичных мероприятиях, уведомление о проведении которых не требуется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Новгородской области от 03.12.2012 N 157-ОЗ)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Нормы предельной заполняемости специально отведенных мест при проведении публичного мероприятия устанавливаются органом местного самоуправления из расчета беспрепятственного нахождения двух человек на одном квадратном метре территории.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Предельная численность лиц, участвующих в публичных мероприятиях, уведомление о проведении которых не требуется, составляет 101 человек.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4" w:name="Par82"/>
      <w:bookmarkEnd w:id="4"/>
      <w:r>
        <w:t>Статья 1-4. Места, в которых запрещается проведение собраний, митингов, шествий, демонстраций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Новгородской области от 03.12.2012 N 157-ОЗ)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Местами, в которых запрещается проведение собраний, митингов, шествий, демонстраций, являются: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территории, на которых проведение публичных мероприятий в </w:t>
      </w:r>
      <w:r>
        <w:lastRenderedPageBreak/>
        <w:t>указанных местах может повлечь нарушение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территории, на которых в день проведения запланированы мероприятия с детьми и подростками, а также территории на расстоянии 50 метров от зданий и объектов, на которых осуществляются мероприятия с детьми и подростками;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территории на расстоянии 50 метров от зданий органов государственной власти области и органов местного самоуправления области, зданий образовательных организаций, зданий медицинских организаций, физкультурно-спортивных организаций, зданий учреждений социального обслуживания населения (в случае если территория указанных организаций имеет ограждение, то на расстоянии 50 метров от ограждения указанных организаций), расположенных на территории области.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473-ОЗ)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5" w:name="Par92"/>
      <w:bookmarkEnd w:id="5"/>
      <w:r>
        <w:t>Статья 2. Порядок проведения публичных мероприятий на объектах транспортной инфраструктуры, используемых для транспорта общего пользования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Проведение публичных мероприятий на объектах транспортной инфраструктуры осуществляется с учетом требований по обеспечению транспортной безопасности и безопасности дорожного движения, предусмотренных федеральными законами и иными федеральными нормативными правовыми актами.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Уведомление о проведении публичного мероприятия на объектах транспортной инфраструктуры подается в порядке, установленном </w:t>
      </w:r>
      <w:hyperlink w:anchor="Par23" w:history="1">
        <w:r>
          <w:rPr>
            <w:color w:val="0000FF"/>
          </w:rPr>
          <w:t>статьей 1</w:t>
        </w:r>
      </w:hyperlink>
      <w:r>
        <w:t xml:space="preserve"> настоящего областного закона.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После получения уведомления о проведении публичного мероприятия на объектах транспортной инфраструктуры орган местного самоуправления направляет копию уведомления и регламент проведения публичного мероприятия в орган исполнительной власти, осуществляющий государственный надзор и контроль в области безопасности дорожного движения, либо в орган исполнительной власти, осуществляющий обеспечение общественной безопасности на объектах железнодорожного транспорта. Копии уведомления и регламента проведения публичного мероприятия направляются не позднее первой половины рабочего дня, следующего за днем получения.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Новгородской области от 26.02.2015 N 728-ОЗ)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Утратила силу. - Областной </w:t>
      </w:r>
      <w:hyperlink r:id="rId29" w:history="1">
        <w:r>
          <w:rPr>
            <w:color w:val="0000FF"/>
          </w:rPr>
          <w:t>закон</w:t>
        </w:r>
      </w:hyperlink>
      <w:r>
        <w:t xml:space="preserve"> Новгородской области от 26.02.2015 </w:t>
      </w:r>
      <w:r>
        <w:lastRenderedPageBreak/>
        <w:t>N 728-ОЗ.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Если в уведомлении о проведении публичного мероприятия местом его проведения указывается проезжая часть объекта транспортной инфраструктуры, к которому непосредственно прилегает иная территория (тротуар, сквер, другая территория), орган местного самоуправления в целях обеспечения движения транспортных сре</w:t>
      </w:r>
      <w:proofErr w:type="gramStart"/>
      <w:r>
        <w:t>дств впр</w:t>
      </w:r>
      <w:proofErr w:type="gramEnd"/>
      <w:r>
        <w:t>аве предложить организаторам публичного мероприятия провести его на прилегающей территории.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Если публичное мероприятие проводится на территории, непосредственно прилегающей к объекту транспортной инфраструктуры, имеющему проезжую часть, органы местного самоуправления в пределах полномочий обеспечивают проведение этого публичного мероприятия исключительно на указанной территории.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При проведении публичных мероприятий транспортные средства не могут использоваться: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на участках дорог, по которым запрещено движение всех механических транспортных средств или категорий транспортных средств, используемых в публичном мероприятии;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на участках дорог, выделенных для движения общественного транспорта;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на участках дорог, на которых осуществляется их техническое обслуживание и ремонт;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на дорогах с одной проезжей частью в каждую сторону.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6" w:name="Par113"/>
      <w:bookmarkEnd w:id="6"/>
      <w:r>
        <w:t>Статья 3. Требования к определению норм предельной заполняемости территории (помещения) в месте проведения публичного мероприятия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Нормы предельной заполняемости территории (помещения) проведения публичного мероприятия устанавливаются органом местного самоуправления с учетом особенностей этого объекта. Указанные нормы доводятся до сведения организаторов публичного мероприятия в течение трех дней со дня получения уведомления о проведении публичного мероприятия.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Расчет норм предельной заполняемости объекта транспортной инфраструктуры, имеющего в месте проведения публичного мероприятия несколько проезжих частей, осуществляется исходя из возможности использования не менее половины проезжих частей для движения транспорта, не используемого в публичном мероприятии, а при необходимости - и для движения граждан, не являющихся участниками публичного мероприятия.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3. При проведении публичного мероприятия с использованием транспортных средств органом местного самоуправления устанавливается предельное количество транспортных средств, которые могут осуществлять движение в составе одной организованной транспортной колонны.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7" w:name="Par121"/>
      <w:bookmarkEnd w:id="7"/>
      <w:r>
        <w:t xml:space="preserve">Статья 4. Признание </w:t>
      </w:r>
      <w:proofErr w:type="gramStart"/>
      <w:r>
        <w:t>утратившим</w:t>
      </w:r>
      <w:proofErr w:type="gramEnd"/>
      <w:r>
        <w:t xml:space="preserve"> силу областного закона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Признать утратившим силу областной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05.10.2005 N 540-ОЗ "О порядке подачи уведомления о проведении публичного мероприятия на территории Новгородской области" (газета "Новгородские ведомости" от 11.10.2005).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8" w:name="Par125"/>
      <w:bookmarkEnd w:id="8"/>
      <w:r>
        <w:t>Статья 5. Вступление в силу настоящего областного закона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Губернатор области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С.Г.МИТИН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</w:pPr>
      <w:r>
        <w:t>Великий Новгород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</w:pPr>
      <w:r>
        <w:t>10 марта 2011 года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</w:pPr>
      <w:r>
        <w:t>N 940-ОЗ</w:t>
      </w: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E3D9E" w:rsidRDefault="006E3D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5304D4" w:rsidRDefault="005304D4">
      <w:bookmarkStart w:id="9" w:name="_GoBack"/>
      <w:bookmarkEnd w:id="9"/>
    </w:p>
    <w:sectPr w:rsidR="005304D4" w:rsidSect="0050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9E"/>
    <w:rsid w:val="000022FB"/>
    <w:rsid w:val="0000336D"/>
    <w:rsid w:val="00052583"/>
    <w:rsid w:val="000561A6"/>
    <w:rsid w:val="00074AF1"/>
    <w:rsid w:val="0007566D"/>
    <w:rsid w:val="000801AE"/>
    <w:rsid w:val="000871C3"/>
    <w:rsid w:val="00090FB9"/>
    <w:rsid w:val="0009351E"/>
    <w:rsid w:val="00093F83"/>
    <w:rsid w:val="00095257"/>
    <w:rsid w:val="000B1E65"/>
    <w:rsid w:val="000D70EC"/>
    <w:rsid w:val="000E6C69"/>
    <w:rsid w:val="00126F33"/>
    <w:rsid w:val="00147A6B"/>
    <w:rsid w:val="0015454E"/>
    <w:rsid w:val="00166390"/>
    <w:rsid w:val="0017796C"/>
    <w:rsid w:val="00177AD1"/>
    <w:rsid w:val="00196FA9"/>
    <w:rsid w:val="001A7A7B"/>
    <w:rsid w:val="001F1886"/>
    <w:rsid w:val="002251AB"/>
    <w:rsid w:val="00244211"/>
    <w:rsid w:val="00281298"/>
    <w:rsid w:val="00295310"/>
    <w:rsid w:val="002B7445"/>
    <w:rsid w:val="002C0B5E"/>
    <w:rsid w:val="002D6297"/>
    <w:rsid w:val="00307084"/>
    <w:rsid w:val="003556B3"/>
    <w:rsid w:val="00380427"/>
    <w:rsid w:val="003939F4"/>
    <w:rsid w:val="00394811"/>
    <w:rsid w:val="003A0126"/>
    <w:rsid w:val="003B3B99"/>
    <w:rsid w:val="003C211A"/>
    <w:rsid w:val="003E0036"/>
    <w:rsid w:val="003E486A"/>
    <w:rsid w:val="00403589"/>
    <w:rsid w:val="00407267"/>
    <w:rsid w:val="00410666"/>
    <w:rsid w:val="00457350"/>
    <w:rsid w:val="004B12F2"/>
    <w:rsid w:val="004E24F8"/>
    <w:rsid w:val="0050047E"/>
    <w:rsid w:val="00517955"/>
    <w:rsid w:val="005304D4"/>
    <w:rsid w:val="0055639F"/>
    <w:rsid w:val="005B632D"/>
    <w:rsid w:val="005D5174"/>
    <w:rsid w:val="005F118A"/>
    <w:rsid w:val="00603E75"/>
    <w:rsid w:val="006051CD"/>
    <w:rsid w:val="006528B5"/>
    <w:rsid w:val="00665112"/>
    <w:rsid w:val="006766C1"/>
    <w:rsid w:val="00680454"/>
    <w:rsid w:val="0068246E"/>
    <w:rsid w:val="006A0D87"/>
    <w:rsid w:val="006C0A59"/>
    <w:rsid w:val="006C4974"/>
    <w:rsid w:val="006E3D9E"/>
    <w:rsid w:val="00720782"/>
    <w:rsid w:val="00723978"/>
    <w:rsid w:val="00726CA0"/>
    <w:rsid w:val="00731955"/>
    <w:rsid w:val="007924A8"/>
    <w:rsid w:val="007942AA"/>
    <w:rsid w:val="007C0016"/>
    <w:rsid w:val="008126E6"/>
    <w:rsid w:val="008C3761"/>
    <w:rsid w:val="008C4640"/>
    <w:rsid w:val="00934DCB"/>
    <w:rsid w:val="00947C2F"/>
    <w:rsid w:val="00964307"/>
    <w:rsid w:val="009D61C1"/>
    <w:rsid w:val="009F083C"/>
    <w:rsid w:val="00A56881"/>
    <w:rsid w:val="00A66499"/>
    <w:rsid w:val="00A70AE6"/>
    <w:rsid w:val="00A90D25"/>
    <w:rsid w:val="00AA2F5F"/>
    <w:rsid w:val="00AF1353"/>
    <w:rsid w:val="00B27817"/>
    <w:rsid w:val="00B361D2"/>
    <w:rsid w:val="00B760C5"/>
    <w:rsid w:val="00BB09C8"/>
    <w:rsid w:val="00BD3820"/>
    <w:rsid w:val="00BD4CBE"/>
    <w:rsid w:val="00BD6898"/>
    <w:rsid w:val="00C112AA"/>
    <w:rsid w:val="00C832E0"/>
    <w:rsid w:val="00C858A5"/>
    <w:rsid w:val="00CA1D4C"/>
    <w:rsid w:val="00CC0EDF"/>
    <w:rsid w:val="00CC4586"/>
    <w:rsid w:val="00D327C3"/>
    <w:rsid w:val="00D463E1"/>
    <w:rsid w:val="00DC36E2"/>
    <w:rsid w:val="00E22B75"/>
    <w:rsid w:val="00E65E13"/>
    <w:rsid w:val="00E717E2"/>
    <w:rsid w:val="00E92E7C"/>
    <w:rsid w:val="00EA64FE"/>
    <w:rsid w:val="00EC7747"/>
    <w:rsid w:val="00EE4B62"/>
    <w:rsid w:val="00EF2A6D"/>
    <w:rsid w:val="00F750D2"/>
    <w:rsid w:val="00F9014E"/>
    <w:rsid w:val="00F908A5"/>
    <w:rsid w:val="00F90BF0"/>
    <w:rsid w:val="00FD4FB8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9EEB94894456B9DC2B91F5071C6453C45C6B2375303195DA07C431470CA64F39NDBFG" TargetMode="External"/><Relationship Id="rId13" Type="http://schemas.openxmlformats.org/officeDocument/2006/relationships/hyperlink" Target="consultantplus://offline/ref=AE2DC56731627E7302AF3488E8F8D64C53B58A2F94F30A4A380C9F013C2A7F6776DA8345803C460ENAB2G" TargetMode="External"/><Relationship Id="rId18" Type="http://schemas.openxmlformats.org/officeDocument/2006/relationships/hyperlink" Target="consultantplus://offline/ref=AE2DC56731627E7302AF3488E8F8D64C53B58A2F94F30A4A380C9F013C2A7F6776DA8345803C470DNAB7G" TargetMode="External"/><Relationship Id="rId26" Type="http://schemas.openxmlformats.org/officeDocument/2006/relationships/hyperlink" Target="consultantplus://offline/ref=AE2DC56731627E7302AF349EEB94894456B9DC2B97F0081B6053C45C6B2375303195DA07C431470CA64F38NDB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2DC56731627E7302AF3488E8F8D64C53B4822795FE0A4A380C9F013CN2BAG" TargetMode="External"/><Relationship Id="rId7" Type="http://schemas.openxmlformats.org/officeDocument/2006/relationships/hyperlink" Target="consultantplus://offline/ref=AE2DC56731627E7302AF349EEB94894456B9DC2B90F2061F6353C45C6B2375303195DA07C431470CA64F39NDBFG" TargetMode="External"/><Relationship Id="rId12" Type="http://schemas.openxmlformats.org/officeDocument/2006/relationships/hyperlink" Target="consultantplus://offline/ref=AE2DC56731627E7302AF349EEB94894456B9DC2B91F2001E6353C45C6B2375303195DA07C431470CA64F39NDBFG" TargetMode="External"/><Relationship Id="rId17" Type="http://schemas.openxmlformats.org/officeDocument/2006/relationships/hyperlink" Target="consultantplus://offline/ref=AE2DC56731627E7302AF3488E8F8D64C53B58A2F94F30A4A380C9F013C2A7F6776DA8345803C4608NABEG" TargetMode="External"/><Relationship Id="rId25" Type="http://schemas.openxmlformats.org/officeDocument/2006/relationships/hyperlink" Target="consultantplus://offline/ref=AE2DC56731627E7302AF349EEB94894456B9DC2B97F0081B6053C45C6B2375303195DA07C431470CA64F38NDB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2DC56731627E7302AF3488E8F8D64C53B58A2F94F30A4A380C9F013C2A7F6776DA8345803C470CNAB2G" TargetMode="External"/><Relationship Id="rId20" Type="http://schemas.openxmlformats.org/officeDocument/2006/relationships/hyperlink" Target="consultantplus://offline/ref=AE2DC56731627E7302AF3488E8F8D64C53B58A2F94F30A4A380C9F013C2A7F6776DA8345803C470CNABEG" TargetMode="External"/><Relationship Id="rId29" Type="http://schemas.openxmlformats.org/officeDocument/2006/relationships/hyperlink" Target="consultantplus://offline/ref=AE2DC56731627E7302AF349EEB94894456B9DC2B91F5071C6453C45C6B2375303195DA07C431470CA64F38NDB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DC56731627E7302AF349EEB94894456B9DC2B97F0081B6053C45C6B2375303195DA07C431470CA64F39NDBFG" TargetMode="External"/><Relationship Id="rId11" Type="http://schemas.openxmlformats.org/officeDocument/2006/relationships/hyperlink" Target="consultantplus://offline/ref=AE2DC56731627E7302AF3488E8F8D64C53B58A2F94F30A4A380C9F013C2A7F6776DA83N4B0G" TargetMode="External"/><Relationship Id="rId24" Type="http://schemas.openxmlformats.org/officeDocument/2006/relationships/hyperlink" Target="consultantplus://offline/ref=AE2DC56731627E7302AF349EEB94894456B9DC2B97F0081B6053C45C6B2375303195DA07C431470CA64F38NDB7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2DC56731627E7302AF3488E8F8D64C53B58A2F94F30A4A380C9F013C2A7F6776DA8345803C470DNAB6G" TargetMode="External"/><Relationship Id="rId23" Type="http://schemas.openxmlformats.org/officeDocument/2006/relationships/hyperlink" Target="consultantplus://offline/ref=AE2DC56731627E7302AF349EEB94894456B9DC2B97F0081B6053C45C6B2375303195DA07C431470CA64F38NDB7G" TargetMode="External"/><Relationship Id="rId28" Type="http://schemas.openxmlformats.org/officeDocument/2006/relationships/hyperlink" Target="consultantplus://offline/ref=AE2DC56731627E7302AF349EEB94894456B9DC2B91F5071C6453C45C6B2375303195DA07C431470CA64F39NDBEG" TargetMode="External"/><Relationship Id="rId10" Type="http://schemas.openxmlformats.org/officeDocument/2006/relationships/hyperlink" Target="consultantplus://offline/ref=AE2DC56731627E7302AF349EEB94894456B9DC2B97F0081B6053C45C6B2375303195DA07C431470CA64F39NDBEG" TargetMode="External"/><Relationship Id="rId19" Type="http://schemas.openxmlformats.org/officeDocument/2006/relationships/hyperlink" Target="consultantplus://offline/ref=AE2DC56731627E7302AF3488E8F8D64C53B58A2F94F30A4A380C9F013C2A7F6776DA8345803C4609NAB1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2DC56731627E7302AF349EEB94894456B9DC2B91F2001E6353C45C6B2375303195DA07C431470CA64F39NDBFG" TargetMode="External"/><Relationship Id="rId14" Type="http://schemas.openxmlformats.org/officeDocument/2006/relationships/hyperlink" Target="consultantplus://offline/ref=AE2DC56731627E7302AF3488E8F8D64C50BA85239FA15D48695991N0B4G" TargetMode="External"/><Relationship Id="rId22" Type="http://schemas.openxmlformats.org/officeDocument/2006/relationships/hyperlink" Target="consultantplus://offline/ref=AE2DC56731627E7302AF349EEB94894456B9DC2B90F2061F6353C45C6B2375303195DA07C431470CA64F39NDBEG" TargetMode="External"/><Relationship Id="rId27" Type="http://schemas.openxmlformats.org/officeDocument/2006/relationships/hyperlink" Target="consultantplus://offline/ref=AE2DC56731627E7302AF349EEB94894456B9DC2B90F2061F6353C45C6B2375303195DA07C431470CA64F38NDB7G" TargetMode="External"/><Relationship Id="rId30" Type="http://schemas.openxmlformats.org/officeDocument/2006/relationships/hyperlink" Target="consultantplus://offline/ref=AE2DC56731627E7302AF349EEB94894456B9DC2B95F501196153C45C6B237530N3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2015-07-14T06:01:00Z</dcterms:created>
  <dcterms:modified xsi:type="dcterms:W3CDTF">2015-07-14T06:01:00Z</dcterms:modified>
</cp:coreProperties>
</file>